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deGrade1Clara-nfase4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6"/>
        <w:gridCol w:w="2318"/>
        <w:gridCol w:w="1662"/>
      </w:tblGrid>
      <w:tr w:rsidR="00A245D0" w:rsidRPr="00967168" w14:paraId="1748BD29" w14:textId="77777777" w:rsidTr="00A245D0">
        <w:tc>
          <w:tcPr>
            <w:tcW w:w="5676" w:type="dxa"/>
            <w:shd w:val="clear" w:color="auto" w:fill="C5E0B3" w:themeFill="accent6" w:themeFillTint="66"/>
          </w:tcPr>
          <w:p w14:paraId="2A9ACB5B" w14:textId="77777777" w:rsidR="00A245D0" w:rsidRPr="0001567B" w:rsidRDefault="00A245D0" w:rsidP="001B717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1567B">
              <w:rPr>
                <w:rFonts w:cstheme="minorHAnsi"/>
                <w:b/>
                <w:bCs/>
                <w:sz w:val="24"/>
                <w:szCs w:val="24"/>
              </w:rPr>
              <w:t xml:space="preserve">Lista de verificação 1 – verificação comum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tod</w:t>
            </w:r>
            <w:r w:rsidRPr="0001567B">
              <w:rPr>
                <w:rFonts w:cstheme="minorHAnsi"/>
                <w:b/>
                <w:bCs/>
                <w:sz w:val="24"/>
                <w:szCs w:val="24"/>
              </w:rPr>
              <w:t>os procedimentos</w:t>
            </w:r>
          </w:p>
        </w:tc>
        <w:tc>
          <w:tcPr>
            <w:tcW w:w="2318" w:type="dxa"/>
            <w:shd w:val="clear" w:color="auto" w:fill="C5E0B3" w:themeFill="accent6" w:themeFillTint="66"/>
          </w:tcPr>
          <w:p w14:paraId="0F78383B" w14:textId="77777777" w:rsidR="00A245D0" w:rsidRDefault="00A245D0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1211DE91" w14:textId="77777777" w:rsidR="00A245D0" w:rsidRPr="00967168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C5E0B3" w:themeFill="accent6" w:themeFillTint="66"/>
          </w:tcPr>
          <w:p w14:paraId="52941DD1" w14:textId="77777777" w:rsidR="00A245D0" w:rsidRPr="00967168" w:rsidRDefault="00A245D0" w:rsidP="001B71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Consta do Processo? Indicar em </w:t>
            </w:r>
            <w:proofErr w:type="gramStart"/>
            <w:r>
              <w:rPr>
                <w:rFonts w:cstheme="minorHAnsi"/>
                <w:sz w:val="24"/>
                <w:szCs w:val="24"/>
              </w:rPr>
              <w:t>quais  fls.</w:t>
            </w:r>
            <w:proofErr w:type="gramEnd"/>
          </w:p>
        </w:tc>
      </w:tr>
      <w:tr w:rsidR="00A245D0" w:rsidRPr="00967168" w14:paraId="2448F80B" w14:textId="77777777" w:rsidTr="001B7170">
        <w:tc>
          <w:tcPr>
            <w:tcW w:w="5676" w:type="dxa"/>
          </w:tcPr>
          <w:p w14:paraId="5C8D8664" w14:textId="77777777" w:rsidR="00A245D0" w:rsidRPr="00CF60A4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CF60A4">
              <w:rPr>
                <w:rFonts w:cstheme="minorHAnsi"/>
                <w:sz w:val="24"/>
                <w:szCs w:val="24"/>
              </w:rPr>
              <w:t xml:space="preserve">Os autos do processo </w:t>
            </w:r>
            <w:r>
              <w:rPr>
                <w:rFonts w:cstheme="minorHAnsi"/>
                <w:sz w:val="24"/>
                <w:szCs w:val="24"/>
              </w:rPr>
              <w:t>foram instruídos com</w:t>
            </w:r>
            <w:r w:rsidRPr="00CF60A4">
              <w:rPr>
                <w:rFonts w:cstheme="minorHAnsi"/>
                <w:sz w:val="24"/>
                <w:szCs w:val="24"/>
              </w:rPr>
              <w:t xml:space="preserve"> os documentos</w:t>
            </w:r>
            <w:r>
              <w:rPr>
                <w:rFonts w:cstheme="minorHAnsi"/>
                <w:sz w:val="24"/>
                <w:szCs w:val="24"/>
              </w:rPr>
              <w:t xml:space="preserve"> dispostos no art. 173 do Decreto Municipal n°3.884/2024?</w:t>
            </w:r>
            <w:r w:rsidRPr="00AA5490"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</w:p>
        </w:tc>
        <w:tc>
          <w:tcPr>
            <w:tcW w:w="2318" w:type="dxa"/>
          </w:tcPr>
          <w:p w14:paraId="3C698285" w14:textId="77777777" w:rsidR="00A245D0" w:rsidRPr="00967168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5573754"/>
                <w:placeholder>
                  <w:docPart w:val="132ACA5A1F93485F9B2BEE0A62ED8593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</w:tcPr>
          <w:p w14:paraId="36C0FA24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247DAB57" w14:textId="77777777" w:rsidTr="00A245D0">
        <w:tc>
          <w:tcPr>
            <w:tcW w:w="5676" w:type="dxa"/>
            <w:shd w:val="clear" w:color="auto" w:fill="FFFFFF" w:themeFill="background1"/>
          </w:tcPr>
          <w:p w14:paraId="1E6083FB" w14:textId="77777777" w:rsidR="00A245D0" w:rsidRPr="00CF60A4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CF60A4">
              <w:rPr>
                <w:rFonts w:cstheme="minorHAnsi"/>
                <w:sz w:val="24"/>
                <w:szCs w:val="24"/>
              </w:rPr>
              <w:t>Foram consultados todos os sistemas de consulta abaixo e juntados aos autos os respectivos comprovantes?</w:t>
            </w:r>
          </w:p>
          <w:p w14:paraId="77B400AF" w14:textId="77777777" w:rsidR="00A245D0" w:rsidRPr="00471098" w:rsidRDefault="00A245D0" w:rsidP="001B7170">
            <w:pPr>
              <w:autoSpaceDE w:val="0"/>
              <w:autoSpaceDN w:val="0"/>
              <w:adjustRightInd w:val="0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 xml:space="preserve">a) SICAF;  </w:t>
            </w:r>
          </w:p>
          <w:p w14:paraId="4F8B24DF" w14:textId="77777777" w:rsidR="00A245D0" w:rsidRPr="00471098" w:rsidRDefault="00A245D0" w:rsidP="001B7170">
            <w:pPr>
              <w:autoSpaceDE w:val="0"/>
              <w:autoSpaceDN w:val="0"/>
              <w:adjustRightInd w:val="0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>b) Cadastro Nacional de Empresas Inidôneas e Suspensas - CEIS, mantido pela Controladoria-Geral da União (www.portaldatransparencia.gov.br/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ceis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 xml:space="preserve">);  </w:t>
            </w:r>
          </w:p>
          <w:p w14:paraId="28125D0C" w14:textId="77777777" w:rsidR="00A245D0" w:rsidRPr="00471098" w:rsidRDefault="00A245D0" w:rsidP="001B7170">
            <w:pPr>
              <w:autoSpaceDE w:val="0"/>
              <w:autoSpaceDN w:val="0"/>
              <w:adjustRightInd w:val="0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>c) Cadastro Nacional de Condenações Cíveis por Atos de Improbidade Administrativa, mantido pelo Conselho Nacional de Justiça (www.cnj.jus.br/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improbidade_adm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consultar_requerido.php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 xml:space="preserve">).  </w:t>
            </w:r>
          </w:p>
          <w:p w14:paraId="63886DA0" w14:textId="77777777" w:rsidR="00A245D0" w:rsidRPr="00471098" w:rsidRDefault="00A245D0" w:rsidP="001B7170">
            <w:pPr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 xml:space="preserve">d) Lista de Inidôneos, mantida pelo Tribunal de Contas da União – TCU </w:t>
            </w:r>
            <w:r>
              <w:rPr>
                <w:rFonts w:cstheme="minorHAnsi"/>
                <w:sz w:val="24"/>
                <w:szCs w:val="24"/>
              </w:rPr>
              <w:t xml:space="preserve">e Pelo TCE/RJ </w:t>
            </w:r>
            <w:r w:rsidRPr="00471098">
              <w:rPr>
                <w:rFonts w:cstheme="minorHAnsi"/>
                <w:sz w:val="24"/>
                <w:szCs w:val="24"/>
              </w:rPr>
              <w:t>(</w:t>
            </w:r>
            <w:hyperlink r:id="rId7" w:history="1">
              <w:r w:rsidRPr="00AA0AA6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</w:rPr>
                <w:t>https://contas.tcu.gov.br/ords/f?p=INABILITADO:INIDONEOS</w:t>
              </w:r>
            </w:hyperlink>
            <w:r w:rsidRPr="00AA0AA6">
              <w:rPr>
                <w:rFonts w:cstheme="minorHAnsi"/>
                <w:color w:val="000000" w:themeColor="text1"/>
                <w:sz w:val="24"/>
                <w:szCs w:val="24"/>
              </w:rPr>
              <w:t xml:space="preserve">  e </w:t>
            </w:r>
            <w:r w:rsidRPr="00F8317B">
              <w:rPr>
                <w:rFonts w:cstheme="minorHAnsi"/>
                <w:sz w:val="24"/>
                <w:szCs w:val="24"/>
              </w:rPr>
              <w:t>https://www.tcerj.tc.br/portalnovo/pagina/inabilitados_e_inidoneos</w:t>
            </w:r>
            <w:r w:rsidRPr="00471098">
              <w:rPr>
                <w:rFonts w:cstheme="minorHAnsi"/>
                <w:sz w:val="24"/>
                <w:szCs w:val="24"/>
              </w:rPr>
              <w:t>);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  <w:r w:rsidRPr="0047109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  <w:shd w:val="clear" w:color="auto" w:fill="FFFFFF" w:themeFill="background1"/>
          </w:tcPr>
          <w:p w14:paraId="03E26BEB" w14:textId="77777777" w:rsidR="00A245D0" w:rsidRPr="00967168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34169956"/>
                <w:placeholder>
                  <w:docPart w:val="CB77EAC2F56140CA8F62A6B20684C13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2052D337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3AA8DA34" w14:textId="77777777" w:rsidTr="00A245D0">
        <w:tc>
          <w:tcPr>
            <w:tcW w:w="5676" w:type="dxa"/>
            <w:shd w:val="clear" w:color="auto" w:fill="FFFFFF" w:themeFill="background1"/>
          </w:tcPr>
          <w:p w14:paraId="0422F197" w14:textId="77777777" w:rsidR="00A245D0" w:rsidRPr="00CF60A4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CF60A4">
              <w:rPr>
                <w:rFonts w:cstheme="minorHAnsi"/>
                <w:sz w:val="24"/>
                <w:szCs w:val="24"/>
              </w:rPr>
              <w:t>Consta dos</w:t>
            </w:r>
            <w:r>
              <w:rPr>
                <w:rFonts w:cstheme="minorHAnsi"/>
                <w:sz w:val="24"/>
                <w:szCs w:val="24"/>
              </w:rPr>
              <w:t xml:space="preserve"> autos</w:t>
            </w:r>
            <w:r w:rsidRPr="00CF60A4">
              <w:rPr>
                <w:rFonts w:cstheme="minorHAnsi"/>
                <w:sz w:val="24"/>
                <w:szCs w:val="24"/>
              </w:rPr>
              <w:t xml:space="preserve"> </w:t>
            </w:r>
            <w:r w:rsidRPr="005930F6">
              <w:rPr>
                <w:rFonts w:cstheme="minorHAnsi"/>
                <w:sz w:val="24"/>
                <w:szCs w:val="24"/>
              </w:rPr>
              <w:t xml:space="preserve">consulta </w:t>
            </w:r>
            <w:r>
              <w:rPr>
                <w:rFonts w:cstheme="minorHAnsi"/>
                <w:sz w:val="24"/>
                <w:szCs w:val="24"/>
              </w:rPr>
              <w:t>à Secretaria de Fazenda a respeito de cr</w:t>
            </w:r>
            <w:r w:rsidRPr="00ED45F2">
              <w:rPr>
                <w:rFonts w:cstheme="minorHAnsi"/>
                <w:sz w:val="24"/>
                <w:szCs w:val="24"/>
              </w:rPr>
              <w:t xml:space="preserve">éditos não quitados </w:t>
            </w:r>
            <w:r>
              <w:rPr>
                <w:rFonts w:cstheme="minorHAnsi"/>
                <w:sz w:val="24"/>
                <w:szCs w:val="24"/>
              </w:rPr>
              <w:t xml:space="preserve">junto aos </w:t>
            </w:r>
            <w:r w:rsidRPr="00ED45F2">
              <w:rPr>
                <w:rFonts w:cstheme="minorHAnsi"/>
                <w:sz w:val="24"/>
                <w:szCs w:val="24"/>
              </w:rPr>
              <w:t xml:space="preserve">órgãos e entidades </w:t>
            </w:r>
            <w:r>
              <w:rPr>
                <w:rFonts w:cstheme="minorHAnsi"/>
                <w:sz w:val="24"/>
                <w:szCs w:val="24"/>
              </w:rPr>
              <w:t>municipais</w:t>
            </w:r>
            <w:r w:rsidRPr="00CF60A4">
              <w:rPr>
                <w:rFonts w:cstheme="minorHAnsi"/>
                <w:sz w:val="24"/>
                <w:szCs w:val="24"/>
              </w:rPr>
              <w:t>?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tc>
          <w:tcPr>
            <w:tcW w:w="2318" w:type="dxa"/>
            <w:shd w:val="clear" w:color="auto" w:fill="FFFFFF" w:themeFill="background1"/>
          </w:tcPr>
          <w:p w14:paraId="4B9ADE2F" w14:textId="77777777" w:rsidR="00A245D0" w:rsidRPr="00967168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9210666"/>
                <w:placeholder>
                  <w:docPart w:val="47EB9171A873442EAFF354A2D742F8D0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0F4A90FC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00CC72EF" w14:textId="77777777" w:rsidTr="00A245D0">
        <w:tc>
          <w:tcPr>
            <w:tcW w:w="5676" w:type="dxa"/>
            <w:shd w:val="clear" w:color="auto" w:fill="FFFFFF" w:themeFill="background1"/>
          </w:tcPr>
          <w:p w14:paraId="7AC7E1BE" w14:textId="77777777" w:rsidR="00A245D0" w:rsidRPr="00CF60A4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Foi certificado que </w:t>
            </w:r>
            <w:r w:rsidRPr="00CF60A4">
              <w:rPr>
                <w:rFonts w:cstheme="minorHAnsi"/>
                <w:sz w:val="24"/>
                <w:szCs w:val="24"/>
              </w:rPr>
              <w:t>o contratado mantém as condições iniciais de habilitação?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  <w:r w:rsidRPr="00CF60A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  <w:shd w:val="clear" w:color="auto" w:fill="FFFFFF" w:themeFill="background1"/>
          </w:tcPr>
          <w:p w14:paraId="612C2298" w14:textId="77777777" w:rsidR="00A245D0" w:rsidRPr="00967168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6465426"/>
                <w:placeholder>
                  <w:docPart w:val="D3296DD3E84943A38F2C04E4DC23B199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753802B3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4C36DA90" w14:textId="77777777" w:rsidTr="00A245D0">
        <w:tc>
          <w:tcPr>
            <w:tcW w:w="5676" w:type="dxa"/>
            <w:shd w:val="clear" w:color="auto" w:fill="FFFFFF" w:themeFill="background1"/>
          </w:tcPr>
          <w:p w14:paraId="3E61EF80" w14:textId="77777777" w:rsidR="00A245D0" w:rsidRPr="00CF60A4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D7B32">
              <w:rPr>
                <w:rFonts w:cstheme="minorHAnsi"/>
                <w:sz w:val="24"/>
                <w:szCs w:val="24"/>
              </w:rPr>
              <w:t>Havendo despesa, foram indicad</w:t>
            </w:r>
            <w:r>
              <w:rPr>
                <w:rFonts w:cstheme="minorHAnsi"/>
                <w:sz w:val="24"/>
                <w:szCs w:val="24"/>
              </w:rPr>
              <w:t>os em cláusula do aditivo os créditos</w:t>
            </w:r>
            <w:r w:rsidRPr="008D7B32">
              <w:rPr>
                <w:rFonts w:cstheme="minorHAnsi"/>
                <w:sz w:val="24"/>
                <w:szCs w:val="24"/>
              </w:rPr>
              <w:t xml:space="preserve"> orçamentári</w:t>
            </w:r>
            <w:r>
              <w:rPr>
                <w:rFonts w:cstheme="minorHAnsi"/>
                <w:sz w:val="24"/>
                <w:szCs w:val="24"/>
              </w:rPr>
              <w:t>o</w:t>
            </w:r>
            <w:r w:rsidRPr="008D7B32">
              <w:rPr>
                <w:rFonts w:cstheme="minorHAnsi"/>
                <w:sz w:val="24"/>
                <w:szCs w:val="24"/>
              </w:rPr>
              <w:t>s</w:t>
            </w:r>
            <w:r>
              <w:rPr>
                <w:rFonts w:cstheme="minorHAnsi"/>
                <w:sz w:val="24"/>
                <w:szCs w:val="24"/>
              </w:rPr>
              <w:t xml:space="preserve"> para o pagamento das parcelas contratuais vincendas no exercício em que celebrado o aditivo</w:t>
            </w:r>
            <w:r w:rsidRPr="008D7B32">
              <w:rPr>
                <w:rFonts w:cstheme="minorHAnsi"/>
                <w:sz w:val="24"/>
                <w:szCs w:val="24"/>
              </w:rPr>
              <w:t>?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tc>
          <w:tcPr>
            <w:tcW w:w="2318" w:type="dxa"/>
            <w:shd w:val="clear" w:color="auto" w:fill="FFFFFF" w:themeFill="background1"/>
          </w:tcPr>
          <w:p w14:paraId="4E2DCF93" w14:textId="77777777" w:rsidR="00A245D0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22929818"/>
                <w:placeholder>
                  <w:docPart w:val="8A17C7B8D0B044AC9780BFAAB33750F6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85387A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4E812A0C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221E280D" w14:textId="77777777" w:rsidTr="00A245D0">
        <w:tc>
          <w:tcPr>
            <w:tcW w:w="5676" w:type="dxa"/>
            <w:shd w:val="clear" w:color="auto" w:fill="FFFFFF" w:themeFill="background1"/>
          </w:tcPr>
          <w:p w14:paraId="6F6B95BC" w14:textId="77777777" w:rsidR="00A245D0" w:rsidRPr="008D7B32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indicação contém </w:t>
            </w:r>
            <w:r w:rsidRPr="00BE1C89">
              <w:rPr>
                <w:rFonts w:cstheme="minorHAnsi"/>
                <w:sz w:val="24"/>
                <w:szCs w:val="24"/>
              </w:rPr>
              <w:t xml:space="preserve">a classificação programática e econômica da despesa, com a declaração de haver sido </w:t>
            </w:r>
            <w:r>
              <w:rPr>
                <w:rFonts w:cstheme="minorHAnsi"/>
                <w:sz w:val="24"/>
                <w:szCs w:val="24"/>
              </w:rPr>
              <w:t>a despesa</w:t>
            </w:r>
            <w:r w:rsidRPr="00BE1C89">
              <w:rPr>
                <w:rFonts w:cstheme="minorHAnsi"/>
                <w:sz w:val="24"/>
                <w:szCs w:val="24"/>
              </w:rPr>
              <w:t xml:space="preserve"> empenhada à conta do mesmo crédito, mencionando-se o número e data da Nota de Empenho</w:t>
            </w:r>
            <w:r>
              <w:rPr>
                <w:rFonts w:cstheme="minorHAnsi"/>
                <w:sz w:val="24"/>
                <w:szCs w:val="24"/>
              </w:rPr>
              <w:t>?</w:t>
            </w:r>
            <w:r w:rsidRPr="00DA2A6E">
              <w:rPr>
                <w:vertAlign w:val="superscript"/>
              </w:rPr>
              <w:endnoteReference w:id="6"/>
            </w:r>
          </w:p>
        </w:tc>
        <w:tc>
          <w:tcPr>
            <w:tcW w:w="2318" w:type="dxa"/>
            <w:shd w:val="clear" w:color="auto" w:fill="FFFFFF" w:themeFill="background1"/>
          </w:tcPr>
          <w:p w14:paraId="0D5C3BD2" w14:textId="77777777" w:rsidR="00A245D0" w:rsidRDefault="00A245D0" w:rsidP="001B7170">
            <w:pPr>
              <w:pStyle w:val="PargrafodaLista"/>
              <w:ind w:left="0"/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6384200"/>
                <w:placeholder>
                  <w:docPart w:val="6F8C3E9ED97542A2BDA039D383B9082B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85387A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266F97C5" w14:textId="77777777" w:rsidR="00A245D0" w:rsidRPr="00967168" w:rsidRDefault="00A245D0" w:rsidP="001B7170">
            <w:pPr>
              <w:pStyle w:val="PargrafodaLista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0D93B835" w14:textId="77777777" w:rsidTr="00A245D0">
        <w:tc>
          <w:tcPr>
            <w:tcW w:w="5676" w:type="dxa"/>
            <w:shd w:val="clear" w:color="auto" w:fill="FFFFFF" w:themeFill="background1"/>
          </w:tcPr>
          <w:p w14:paraId="79F33922" w14:textId="77777777" w:rsidR="00A245D0" w:rsidRPr="008D7B32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haja parcela de despesa que ultrapasse o exercício financeiro, consta indicação de </w:t>
            </w:r>
            <w:r w:rsidRPr="00395B06">
              <w:rPr>
                <w:rFonts w:cstheme="minorHAnsi"/>
                <w:sz w:val="24"/>
                <w:szCs w:val="24"/>
              </w:rPr>
              <w:t xml:space="preserve">cada parcela a </w:t>
            </w:r>
            <w:r w:rsidRPr="00395B06">
              <w:rPr>
                <w:rFonts w:cstheme="minorHAnsi"/>
                <w:sz w:val="24"/>
                <w:szCs w:val="24"/>
              </w:rPr>
              <w:lastRenderedPageBreak/>
              <w:t xml:space="preserve">ser executada em exercício futuro, com a declaração de que, em termos aditivos, </w:t>
            </w:r>
            <w:r>
              <w:rPr>
                <w:rFonts w:cstheme="minorHAnsi"/>
                <w:sz w:val="24"/>
                <w:szCs w:val="24"/>
              </w:rPr>
              <w:t>serão indicados</w:t>
            </w:r>
            <w:r w:rsidRPr="00395B06">
              <w:rPr>
                <w:rFonts w:cstheme="minorHAnsi"/>
                <w:sz w:val="24"/>
                <w:szCs w:val="24"/>
              </w:rPr>
              <w:t xml:space="preserve"> os créditos e empenhos para sua cobertura</w:t>
            </w:r>
            <w:r>
              <w:rPr>
                <w:rFonts w:cstheme="minorHAnsi"/>
                <w:sz w:val="24"/>
                <w:szCs w:val="24"/>
              </w:rPr>
              <w:t>?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tc>
          <w:tcPr>
            <w:tcW w:w="2318" w:type="dxa"/>
            <w:shd w:val="clear" w:color="auto" w:fill="FFFFFF" w:themeFill="background1"/>
          </w:tcPr>
          <w:p w14:paraId="02E3D952" w14:textId="77777777" w:rsidR="00A245D0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56298110"/>
                <w:placeholder>
                  <w:docPart w:val="EB547EE6F02B492986EFC6E4A017496E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85387A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shd w:val="clear" w:color="auto" w:fill="FFFFFF" w:themeFill="background1"/>
          </w:tcPr>
          <w:p w14:paraId="7A14DDF3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245D0" w:rsidRPr="00967168" w14:paraId="7165D1D0" w14:textId="77777777" w:rsidTr="00A245D0">
        <w:tc>
          <w:tcPr>
            <w:tcW w:w="5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0E7648" w14:textId="77777777" w:rsidR="00A245D0" w:rsidRDefault="00A245D0" w:rsidP="00A245D0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67168">
              <w:rPr>
                <w:rFonts w:eastAsia="Zurich BT" w:cstheme="minorHAnsi"/>
                <w:sz w:val="24"/>
                <w:szCs w:val="24"/>
              </w:rPr>
              <w:t xml:space="preserve">Se for o caso, foi certificado que a despesa respeita o disposto nos </w:t>
            </w:r>
            <w:proofErr w:type="spellStart"/>
            <w:r w:rsidRPr="00967168">
              <w:rPr>
                <w:rFonts w:eastAsia="Zurich BT" w:cstheme="minorHAnsi"/>
                <w:sz w:val="24"/>
                <w:szCs w:val="24"/>
              </w:rPr>
              <w:t>arts</w:t>
            </w:r>
            <w:proofErr w:type="spellEnd"/>
            <w:r w:rsidRPr="00967168">
              <w:rPr>
                <w:rFonts w:eastAsia="Zurich BT" w:cstheme="minorHAnsi"/>
                <w:sz w:val="24"/>
                <w:szCs w:val="24"/>
              </w:rPr>
              <w:t>. 16 e 17 da Lei de Responsabilidade Fiscal? (LC 101/2000)</w:t>
            </w:r>
            <w:r>
              <w:rPr>
                <w:rStyle w:val="Refdenotadefim"/>
                <w:rFonts w:eastAsia="Zurich BT" w:cstheme="minorHAnsi"/>
                <w:sz w:val="24"/>
                <w:szCs w:val="24"/>
              </w:rPr>
              <w:endnoteReference w:id="8"/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DCAEBB" w14:textId="77777777" w:rsidR="00A245D0" w:rsidRDefault="00A245D0" w:rsidP="001B7170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49947060"/>
                <w:placeholder>
                  <w:docPart w:val="299C9A29544F469CB6D6DF66A2EC205E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85387A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27F81A" w14:textId="77777777" w:rsidR="00A245D0" w:rsidRPr="00967168" w:rsidRDefault="00A245D0" w:rsidP="001B71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77777777" w:rsidR="005E27DE" w:rsidRDefault="005E27DE"/>
    <w:sectPr w:rsidR="005E27DE">
      <w:headerReference w:type="default" r:id="rId8"/>
      <w:footerReference w:type="default" r:id="rId9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6A2F1222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art. 173 do Decreto Municipal n°3.884/2024</w:t>
      </w:r>
      <w:r w:rsidRPr="00D01845">
        <w:rPr>
          <w:rFonts w:cstheme="minorHAnsi"/>
          <w:i/>
          <w:color w:val="000000" w:themeColor="text1"/>
        </w:rPr>
        <w:t>”</w:t>
      </w:r>
    </w:p>
  </w:endnote>
  <w:endnote w:id="2">
    <w:p w14:paraId="2AD7846F" w14:textId="77777777" w:rsidR="00A245D0" w:rsidRPr="00D01845" w:rsidRDefault="00A245D0" w:rsidP="00A245D0">
      <w:pPr>
        <w:pStyle w:val="Textodenotadefim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Art. 91, §4º, da Lei 14.133/2021</w:t>
      </w:r>
    </w:p>
  </w:endnote>
  <w:endnote w:id="3">
    <w:p w14:paraId="29006740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</w:rPr>
        <w:t xml:space="preserve"> Lei 10.522, de 19.7.2002, art. 6º, inciso III; TCU, Acórdão 6.246/2010 - 2ª Câmara, de 26.10.2010.(utilizados por analogia).</w:t>
      </w:r>
    </w:p>
  </w:endnote>
  <w:endnote w:id="4">
    <w:p w14:paraId="0F85BC53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  <w:lang w:val="it-IT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it-IT"/>
        </w:rPr>
        <w:t xml:space="preserve"> </w:t>
      </w:r>
      <w:r w:rsidRPr="00D01845">
        <w:rPr>
          <w:rFonts w:cstheme="minorHAnsi"/>
          <w:color w:val="000000" w:themeColor="text1"/>
          <w:lang w:val="it-IT"/>
        </w:rPr>
        <w:t>Lei 14133/21, art. 92, XVI.</w:t>
      </w:r>
    </w:p>
  </w:endnote>
  <w:endnote w:id="5">
    <w:p w14:paraId="189666DD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it-IT"/>
        </w:rPr>
        <w:t xml:space="preserve"> </w:t>
      </w:r>
      <w:r w:rsidRPr="00D01845">
        <w:rPr>
          <w:rFonts w:cstheme="minorHAnsi"/>
          <w:color w:val="000000" w:themeColor="text1"/>
          <w:lang w:val="it-IT"/>
        </w:rPr>
        <w:t xml:space="preserve">Lei </w:t>
      </w:r>
      <w:r w:rsidRPr="00D01845">
        <w:rPr>
          <w:rFonts w:cstheme="minorHAnsi"/>
          <w:color w:val="000000" w:themeColor="text1"/>
          <w:lang w:val="it-IT"/>
        </w:rPr>
        <w:t>14133/21, art. 150</w:t>
      </w:r>
      <w:r w:rsidRPr="00D01845">
        <w:rPr>
          <w:rFonts w:cstheme="minorHAnsi"/>
          <w:color w:val="000000" w:themeColor="text1"/>
          <w:lang w:val="en-US"/>
        </w:rPr>
        <w:t>.</w:t>
      </w:r>
    </w:p>
  </w:endnote>
  <w:endnote w:id="6">
    <w:p w14:paraId="5CF4F44A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D01845">
        <w:rPr>
          <w:rFonts w:cstheme="minorHAnsi"/>
          <w:color w:val="000000" w:themeColor="text1"/>
          <w:lang w:val="en-US"/>
        </w:rPr>
        <w:t>Decreto</w:t>
      </w:r>
      <w:proofErr w:type="spellEnd"/>
      <w:r w:rsidRPr="00D01845">
        <w:rPr>
          <w:rFonts w:cstheme="minorHAnsi"/>
          <w:color w:val="000000" w:themeColor="text1"/>
          <w:lang w:val="en-US"/>
        </w:rPr>
        <w:t xml:space="preserve"> 93872/86, art. 30.</w:t>
      </w:r>
    </w:p>
  </w:endnote>
  <w:endnote w:id="7">
    <w:p w14:paraId="3C4CAA14" w14:textId="77777777" w:rsidR="00A245D0" w:rsidRPr="00D01845" w:rsidRDefault="00A245D0" w:rsidP="00A245D0">
      <w:pPr>
        <w:pStyle w:val="Textodenotadefim"/>
        <w:jc w:val="both"/>
        <w:rPr>
          <w:rFonts w:cstheme="minorHAnsi"/>
          <w:color w:val="000000" w:themeColor="text1"/>
          <w:lang w:val="en-US"/>
        </w:rPr>
      </w:pPr>
      <w:r w:rsidRPr="00D01845">
        <w:rPr>
          <w:rStyle w:val="Refdenotadefim"/>
          <w:rFonts w:cstheme="minorHAnsi"/>
          <w:color w:val="000000" w:themeColor="text1"/>
        </w:rPr>
        <w:endnoteRef/>
      </w:r>
      <w:r w:rsidRPr="00D01845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D01845">
        <w:rPr>
          <w:rFonts w:cstheme="minorHAnsi"/>
          <w:color w:val="000000" w:themeColor="text1"/>
          <w:lang w:val="en-US"/>
        </w:rPr>
        <w:t>Decreto</w:t>
      </w:r>
      <w:proofErr w:type="spellEnd"/>
      <w:r w:rsidRPr="00D01845">
        <w:rPr>
          <w:rFonts w:cstheme="minorHAnsi"/>
          <w:color w:val="000000" w:themeColor="text1"/>
          <w:lang w:val="en-US"/>
        </w:rPr>
        <w:t xml:space="preserve"> 93872/86, art. 30, §1º.</w:t>
      </w:r>
    </w:p>
  </w:endnote>
  <w:endnote w:id="8">
    <w:p w14:paraId="64258A05" w14:textId="77777777" w:rsidR="00A245D0" w:rsidRPr="00D01845" w:rsidRDefault="00A245D0" w:rsidP="00A245D0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0"/>
          <w:szCs w:val="20"/>
        </w:rPr>
      </w:pPr>
      <w:r w:rsidRPr="00D01845">
        <w:rPr>
          <w:rStyle w:val="Refdenotadefim"/>
          <w:rFonts w:cstheme="minorHAnsi"/>
          <w:color w:val="000000" w:themeColor="text1"/>
          <w:sz w:val="20"/>
          <w:szCs w:val="20"/>
        </w:rPr>
        <w:endnoteRef/>
      </w:r>
      <w:r w:rsidRPr="00D01845">
        <w:rPr>
          <w:rFonts w:cstheme="minorHAnsi"/>
          <w:color w:val="000000" w:themeColor="text1"/>
          <w:sz w:val="20"/>
          <w:szCs w:val="20"/>
        </w:rPr>
        <w:t xml:space="preserve"> ON-AGU 52/2014: </w:t>
      </w:r>
      <w:r w:rsidRPr="00D01845">
        <w:rPr>
          <w:rFonts w:cstheme="minorHAnsi"/>
          <w:i/>
          <w:color w:val="000000" w:themeColor="text1"/>
          <w:sz w:val="20"/>
          <w:szCs w:val="20"/>
        </w:rPr>
        <w:t>“As despesas ordinárias e rotineiras da administração, já previstas no orçamento e destinadas à manutenção das ações governamentais preexistentes, dispensam as exigências previstas nos incisos I e II do art. 16 da Lei Complementar 101, de 2000.”.</w:t>
      </w:r>
      <w:r w:rsidRPr="00D01845">
        <w:rPr>
          <w:rFonts w:cstheme="minorHAnsi"/>
          <w:color w:val="000000" w:themeColor="text1"/>
          <w:sz w:val="20"/>
          <w:szCs w:val="20"/>
        </w:rPr>
        <w:t xml:space="preserve"> Em idêntico sentido, a Conclusão DEPCONSU/PGF/AGU 1/2012 assim orientou: </w:t>
      </w:r>
      <w:r w:rsidRPr="00D01845">
        <w:rPr>
          <w:rFonts w:cstheme="minorHAnsi"/>
          <w:i/>
          <w:color w:val="000000" w:themeColor="text1"/>
          <w:sz w:val="20"/>
          <w:szCs w:val="20"/>
        </w:rPr>
        <w:t>“As exigências do art. 16, incisos I e II, da LRF somente se aplicam às licitações e contratações capazes de gerar despesas fundadas em ações classificadas como projetos pela LOA. Os referidos dispositivos, portanto, não se aplicam às despesas classificadas como atividades (despesas rotineiras).”</w:t>
      </w:r>
      <w:r w:rsidRPr="00D01845">
        <w:rPr>
          <w:rFonts w:cstheme="minorHAnsi"/>
          <w:color w:val="000000" w:themeColor="text1"/>
          <w:sz w:val="20"/>
          <w:szCs w:val="20"/>
        </w:rPr>
        <w:t xml:space="preserve"> (Referência: Parecer 1/2012/GT359/DEPCONSU/PGF/AGU).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A245D0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A245D0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D26F5"/>
    <w:multiLevelType w:val="hybridMultilevel"/>
    <w:tmpl w:val="4AE6B9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A245D0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5D0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34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table" w:styleId="TabeladeGrade1Clara-nfase4">
    <w:name w:val="Grid Table 1 Light Accent 4"/>
    <w:basedOn w:val="Tabelanormal"/>
    <w:uiPriority w:val="46"/>
    <w:rsid w:val="00A245D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as.tcu.gov.br/ords/f?p=INABILITADO:INIDONEO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2ACA5A1F93485F9B2BEE0A62ED85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5B309A-0BD1-4950-9B8B-6105B49D203B}"/>
      </w:docPartPr>
      <w:docPartBody>
        <w:p w:rsidR="00000000" w:rsidRDefault="00487F8A" w:rsidP="00487F8A">
          <w:pPr>
            <w:pStyle w:val="132ACA5A1F93485F9B2BEE0A62ED8593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CB77EAC2F56140CA8F62A6B20684C1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81F580-B9D8-4865-8B3B-12926F1D0B4E}"/>
      </w:docPartPr>
      <w:docPartBody>
        <w:p w:rsidR="00000000" w:rsidRDefault="00487F8A" w:rsidP="00487F8A">
          <w:pPr>
            <w:pStyle w:val="CB77EAC2F56140CA8F62A6B20684C13F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47EB9171A873442EAFF354A2D742F8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8AD75B-7A75-41F7-828F-BF3201C4CD63}"/>
      </w:docPartPr>
      <w:docPartBody>
        <w:p w:rsidR="00000000" w:rsidRDefault="00487F8A" w:rsidP="00487F8A">
          <w:pPr>
            <w:pStyle w:val="47EB9171A873442EAFF354A2D742F8D0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D3296DD3E84943A38F2C04E4DC23B19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692663-CDD1-4551-BAFC-210130BA7082}"/>
      </w:docPartPr>
      <w:docPartBody>
        <w:p w:rsidR="00000000" w:rsidRDefault="00487F8A" w:rsidP="00487F8A">
          <w:pPr>
            <w:pStyle w:val="D3296DD3E84943A38F2C04E4DC23B199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8A17C7B8D0B044AC9780BFAAB33750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B3020A-9F7D-4788-8FB6-38A9D8A70E6F}"/>
      </w:docPartPr>
      <w:docPartBody>
        <w:p w:rsidR="00000000" w:rsidRDefault="00487F8A" w:rsidP="00487F8A">
          <w:pPr>
            <w:pStyle w:val="8A17C7B8D0B044AC9780BFAAB33750F6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6F8C3E9ED97542A2BDA039D383B908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E838B4B-33C8-4FDB-A7F1-1DAAF3A18556}"/>
      </w:docPartPr>
      <w:docPartBody>
        <w:p w:rsidR="00000000" w:rsidRDefault="00487F8A" w:rsidP="00487F8A">
          <w:pPr>
            <w:pStyle w:val="6F8C3E9ED97542A2BDA039D383B9082B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EB547EE6F02B492986EFC6E4A01749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549A00-FFA0-432F-80F4-4687372B804C}"/>
      </w:docPartPr>
      <w:docPartBody>
        <w:p w:rsidR="00000000" w:rsidRDefault="00487F8A" w:rsidP="00487F8A">
          <w:pPr>
            <w:pStyle w:val="EB547EE6F02B492986EFC6E4A017496E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299C9A29544F469CB6D6DF66A2EC20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40CEA96-810D-46AC-B9F8-370CFAE7EDB1}"/>
      </w:docPartPr>
      <w:docPartBody>
        <w:p w:rsidR="00000000" w:rsidRDefault="00487F8A" w:rsidP="00487F8A">
          <w:pPr>
            <w:pStyle w:val="299C9A29544F469CB6D6DF66A2EC205E"/>
          </w:pPr>
          <w:r>
            <w:rPr>
              <w:rFonts w:cstheme="minorHAnsi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487F8A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132ACA5A1F93485F9B2BEE0A62ED8593">
    <w:name w:val="132ACA5A1F93485F9B2BEE0A62ED8593"/>
    <w:rsid w:val="00487F8A"/>
  </w:style>
  <w:style w:type="paragraph" w:customStyle="1" w:styleId="CB77EAC2F56140CA8F62A6B20684C13F">
    <w:name w:val="CB77EAC2F56140CA8F62A6B20684C13F"/>
    <w:rsid w:val="00487F8A"/>
  </w:style>
  <w:style w:type="paragraph" w:customStyle="1" w:styleId="47EB9171A873442EAFF354A2D742F8D0">
    <w:name w:val="47EB9171A873442EAFF354A2D742F8D0"/>
    <w:rsid w:val="00487F8A"/>
  </w:style>
  <w:style w:type="paragraph" w:customStyle="1" w:styleId="D3296DD3E84943A38F2C04E4DC23B199">
    <w:name w:val="D3296DD3E84943A38F2C04E4DC23B199"/>
    <w:rsid w:val="00487F8A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8A17C7B8D0B044AC9780BFAAB33750F6">
    <w:name w:val="8A17C7B8D0B044AC9780BFAAB33750F6"/>
    <w:rsid w:val="00487F8A"/>
  </w:style>
  <w:style w:type="paragraph" w:customStyle="1" w:styleId="6F8C3E9ED97542A2BDA039D383B9082B">
    <w:name w:val="6F8C3E9ED97542A2BDA039D383B9082B"/>
    <w:rsid w:val="00487F8A"/>
  </w:style>
  <w:style w:type="paragraph" w:customStyle="1" w:styleId="EB547EE6F02B492986EFC6E4A017496E">
    <w:name w:val="EB547EE6F02B492986EFC6E4A017496E"/>
    <w:rsid w:val="00487F8A"/>
  </w:style>
  <w:style w:type="paragraph" w:customStyle="1" w:styleId="299C9A29544F469CB6D6DF66A2EC205E">
    <w:name w:val="299C9A29544F469CB6D6DF66A2EC205E"/>
    <w:rsid w:val="00487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1741</Characters>
  <Application>Microsoft Office Word</Application>
  <DocSecurity>0</DocSecurity>
  <Lines>14</Lines>
  <Paragraphs>4</Paragraphs>
  <ScaleCrop>false</ScaleCrop>
  <Company>PMRO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2025-05-23T14:37:00Z</dcterms:created>
  <dcterms:modified xsi:type="dcterms:W3CDTF">2025-05-23T14:37:00Z</dcterms:modified>
</cp:coreProperties>
</file>