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A1C09A" w14:textId="77777777" w:rsidR="00EB7158" w:rsidRDefault="00EB7158" w:rsidP="00EB7158">
      <w:pPr>
        <w:spacing w:before="960" w:after="0" w:line="24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LISTA DE VERIFICAÇÃO</w:t>
      </w:r>
    </w:p>
    <w:p w14:paraId="62669DBF" w14:textId="77777777" w:rsidR="00EB7158" w:rsidRDefault="00EB7158" w:rsidP="00EB7158">
      <w:pPr>
        <w:spacing w:after="360" w:line="240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(Contratação de soluções de Tecnologia da Informação e Comunicação - TIC)</w:t>
      </w:r>
    </w:p>
    <w:tbl>
      <w:tblPr>
        <w:tblStyle w:val="Tabelacomgrade"/>
        <w:tblW w:w="8494" w:type="dxa"/>
        <w:tblInd w:w="569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EB7158" w14:paraId="7B14690C" w14:textId="77777777" w:rsidTr="008F186B">
        <w:trPr>
          <w:trHeight w:val="2050"/>
        </w:trPr>
        <w:tc>
          <w:tcPr>
            <w:tcW w:w="8494" w:type="dxa"/>
          </w:tcPr>
          <w:p w14:paraId="15BEA55F" w14:textId="77777777" w:rsidR="00EB7158" w:rsidRDefault="00EB7158" w:rsidP="008F186B">
            <w:pPr>
              <w:spacing w:after="0" w:line="240" w:lineRule="auto"/>
              <w:ind w:hanging="108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  <w:lang w:eastAsia="en-US"/>
              </w:rPr>
              <w:t>NOTAS EXPLICATIVAS</w:t>
            </w:r>
          </w:p>
          <w:p w14:paraId="4DDAE016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lang w:eastAsia="en-US"/>
              </w:rPr>
              <w:t>A presente lista de verificação foi elaborada com base na lista de verificação disponibilizada pela Advocacia Geral da União, com adaptações relativas à legislação municipal de Rio das Ostras/RJ, com base na Lei 14.133/2021 e no Decreto Municipal n° 3</w:t>
            </w:r>
            <w:r>
              <w:rPr>
                <w:rFonts w:cstheme="minorHAnsi"/>
              </w:rPr>
              <w:t>.</w:t>
            </w:r>
            <w:r>
              <w:rPr>
                <w:rFonts w:eastAsia="Times New Roman" w:cstheme="minorHAnsi"/>
                <w:lang w:eastAsia="en-US"/>
              </w:rPr>
              <w:t>884/2024.</w:t>
            </w:r>
          </w:p>
          <w:p w14:paraId="60D39D22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314005D5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lang w:eastAsia="en-US"/>
              </w:rPr>
              <w:t>A presente lista pressupõe a utilização dos modelos de editais, contratos e termos de referência elaborados pela SEMAD/DELCO e SEMUSA em conjunto com a PGM/PLC, uma vez que tais modelos cumprem os requisitos legais essenciais, dispensando sua verificação específica.</w:t>
            </w:r>
          </w:p>
          <w:p w14:paraId="002C861D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4721AFD2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lang w:eastAsia="en-US"/>
              </w:rPr>
              <w:t>A lista deve ser preenchida pelo órgão contratante como instrumento de transparência e eficiência durante a fase de instrução do processo para permitir a conferência das exigências mínimas nela contidas, devendo ser juntada ao processo antes da remessa ao órgão de assessoramento jurídico.</w:t>
            </w:r>
          </w:p>
          <w:p w14:paraId="7262E859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57789D7C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lang w:eastAsia="en-US"/>
              </w:rPr>
              <w:t>Foram elaboradas 6 (seis) listas distintas, denominadas de anexos I a VI.</w:t>
            </w:r>
          </w:p>
          <w:p w14:paraId="493E8154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7DF440D7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lang w:eastAsia="en-US"/>
              </w:rPr>
              <w:t>A primeira traz os elementos comuns que devem constar em todos os procedimentos de contratação de TIC. A segunda seção abrange aspectos específicos da pesquisa de preços e das questões orçamentárias. A terceira seção abrange aspectos relativos a aquisições. A quarta seção abrange aspectos específicos para contratação de serviços em geral.</w:t>
            </w:r>
          </w:p>
          <w:p w14:paraId="1E686355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25B764A9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lang w:eastAsia="en-US"/>
              </w:rPr>
              <w:t>Nos casos de contratação direta, além do preenchimento das quatro primeiras listas, o agente deverá preencher obrigatoriamente uma das duas listas seguintes, conforme se trate de inexigibilidade ou dispensa (quinta ou sexta). As seções e/ou listas específicas que não forem aplicáveis ao presente caso deverão ser removidas.</w:t>
            </w:r>
          </w:p>
          <w:p w14:paraId="079D6464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3C20FE42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lang w:eastAsia="en-US"/>
              </w:rPr>
              <w:t>A coluna “Atende plenamente a exigência?” deverá ser preenchida apenas com as respostas pré-definidas no formulário, sendo:</w:t>
            </w:r>
          </w:p>
          <w:p w14:paraId="58C71114" w14:textId="77777777" w:rsidR="00EB7158" w:rsidRDefault="00EB7158" w:rsidP="00673D2A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67E703B4" w14:textId="77777777" w:rsidR="00EB7158" w:rsidRDefault="00EB7158" w:rsidP="00673D2A">
            <w:pPr>
              <w:pStyle w:val="Textodenotadefim"/>
              <w:ind w:right="-427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  <w:lang w:eastAsia="en-US"/>
              </w:rPr>
              <w:t>Sim: atende plenamente a exigência.</w:t>
            </w:r>
          </w:p>
          <w:p w14:paraId="24860F9F" w14:textId="77777777" w:rsidR="00EB7158" w:rsidRDefault="00EB7158" w:rsidP="00673D2A">
            <w:pPr>
              <w:pStyle w:val="Textodenotadefim"/>
              <w:ind w:right="-427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  <w:lang w:eastAsia="en-US"/>
              </w:rPr>
              <w:t>Não: não atende plenamente a exigência.</w:t>
            </w:r>
          </w:p>
          <w:p w14:paraId="46120A92" w14:textId="77777777" w:rsidR="00EB7158" w:rsidRDefault="00EB7158" w:rsidP="00673D2A">
            <w:pPr>
              <w:pStyle w:val="Textodenotadefim"/>
              <w:ind w:right="-427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  <w:lang w:eastAsia="en-US"/>
              </w:rPr>
              <w:t>Não se aplica: a exigência não é feita para o caso analisado.</w:t>
            </w:r>
          </w:p>
          <w:p w14:paraId="3D2C6BA4" w14:textId="77777777" w:rsidR="00EB7158" w:rsidRDefault="00EB7158" w:rsidP="00673D2A">
            <w:pPr>
              <w:pStyle w:val="Textodenotadefim"/>
              <w:ind w:right="-427"/>
              <w:jc w:val="both"/>
              <w:rPr>
                <w:rFonts w:cstheme="minorHAnsi"/>
                <w:sz w:val="22"/>
                <w:szCs w:val="22"/>
              </w:rPr>
            </w:pPr>
          </w:p>
          <w:p w14:paraId="6C2A3BEE" w14:textId="77777777" w:rsidR="00EB7158" w:rsidRDefault="00EB7158" w:rsidP="00673D2A">
            <w:pPr>
              <w:pStyle w:val="Textodenotadefim"/>
              <w:ind w:right="-119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  <w:lang w:eastAsia="en-US"/>
              </w:rPr>
              <w:t>Na utilização das listas deverão ser analisadas as consequências para cada negativa, se pode ser suprida mediante justificativa ou enquadramentos específicos, ou se deve haver complementação da instrução.</w:t>
            </w:r>
          </w:p>
          <w:p w14:paraId="2B4A12FF" w14:textId="77777777" w:rsidR="00EB7158" w:rsidRDefault="00EB7158" w:rsidP="00673D2A">
            <w:pPr>
              <w:pStyle w:val="Textodenotadefim"/>
              <w:ind w:right="-427"/>
              <w:jc w:val="both"/>
              <w:rPr>
                <w:rFonts w:cstheme="minorHAnsi"/>
                <w:sz w:val="22"/>
                <w:szCs w:val="22"/>
              </w:rPr>
            </w:pPr>
          </w:p>
          <w:p w14:paraId="53C78C17" w14:textId="77777777" w:rsidR="00EB7158" w:rsidRDefault="00EB7158" w:rsidP="00673D2A">
            <w:pPr>
              <w:pStyle w:val="Textodenotadefim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  <w:lang w:eastAsia="en-US"/>
              </w:rPr>
              <w:t xml:space="preserve">No mais, ressalta-se que, conforme preleciona o art. 208 do Decreto Municipal 3.884/2024, “Poderão ser aplicados os regulamentos editados pelo Poder Executivo Federal para execução da Lei Federal nº </w:t>
            </w:r>
            <w:hyperlink r:id="rId8">
              <w:r>
                <w:rPr>
                  <w:rFonts w:cstheme="minorHAnsi"/>
                  <w:sz w:val="22"/>
                  <w:szCs w:val="22"/>
                  <w:lang w:eastAsia="en-US"/>
                </w:rPr>
                <w:t>14.133</w:t>
              </w:r>
            </w:hyperlink>
            <w:r>
              <w:rPr>
                <w:rFonts w:cstheme="minorHAnsi"/>
                <w:sz w:val="22"/>
                <w:szCs w:val="22"/>
                <w:lang w:eastAsia="en-US"/>
              </w:rPr>
              <w:t>/2021, no caso de inexistir regulamento municipal próprio, aplicando-os no que couber”.</w:t>
            </w:r>
          </w:p>
          <w:p w14:paraId="295624D3" w14:textId="77777777" w:rsidR="00EB7158" w:rsidRDefault="00EB7158" w:rsidP="00673D2A">
            <w:pPr>
              <w:pStyle w:val="Textodenotadefim"/>
              <w:jc w:val="both"/>
              <w:rPr>
                <w:rFonts w:cstheme="minorHAnsi"/>
                <w:sz w:val="22"/>
                <w:szCs w:val="22"/>
              </w:rPr>
            </w:pPr>
          </w:p>
          <w:p w14:paraId="68CF7DA7" w14:textId="77777777" w:rsidR="00EB7158" w:rsidRDefault="00EB7158" w:rsidP="00673D2A">
            <w:pPr>
              <w:pStyle w:val="Textodenotadefim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  <w:lang w:eastAsia="en-US"/>
              </w:rPr>
              <w:t>Por fim, conforme dispõe o art. 65 do Decreto Municipal 3.884/2024, “Os Estudos Técnicos Preliminares para as contratações de soluções de tecnologia da informação e comunicação deverão observar as regras específicas do órgão central do Sistema de Administração dos Recursos de Tecnologia da Informação-</w:t>
            </w:r>
            <w:proofErr w:type="spellStart"/>
            <w:r>
              <w:rPr>
                <w:rFonts w:cstheme="minorHAnsi"/>
                <w:sz w:val="22"/>
                <w:szCs w:val="22"/>
                <w:lang w:eastAsia="en-US"/>
              </w:rPr>
              <w:t>Sisp</w:t>
            </w:r>
            <w:proofErr w:type="spellEnd"/>
            <w:r>
              <w:rPr>
                <w:rFonts w:cstheme="minorHAnsi"/>
                <w:sz w:val="22"/>
                <w:szCs w:val="22"/>
                <w:lang w:eastAsia="en-US"/>
              </w:rPr>
              <w:t>”, o qual não se encontra regulamentado pela Administração Municipal, razão pela qual será  utilizada a IN SGD nº 94/2022 como parâmetro para grande parte dos itens das listas de verificação dispostas abaixo.</w:t>
            </w:r>
          </w:p>
        </w:tc>
      </w:tr>
    </w:tbl>
    <w:p w14:paraId="099BC60D" w14:textId="39031230" w:rsidR="00E96A14" w:rsidRPr="00EB7158" w:rsidRDefault="00E96A14" w:rsidP="00EB7158"/>
    <w:sectPr w:rsidR="00E96A14" w:rsidRPr="00EB715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8483A" w14:textId="77777777" w:rsidR="002120B5" w:rsidRDefault="009A04F7">
      <w:pPr>
        <w:spacing w:after="0" w:line="240" w:lineRule="auto"/>
      </w:pPr>
      <w:r>
        <w:separator/>
      </w:r>
    </w:p>
  </w:endnote>
  <w:endnote w:type="continuationSeparator" w:id="0">
    <w:p w14:paraId="69641A9E" w14:textId="77777777" w:rsidR="002120B5" w:rsidRDefault="009A0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02454" w14:textId="77777777" w:rsidR="00E96A14" w:rsidRDefault="009A04F7">
    <w:pPr>
      <w:pStyle w:val="Rodap"/>
      <w:jc w:val="right"/>
      <w:rPr>
        <w:sz w:val="12"/>
        <w:szCs w:val="12"/>
        <w:lang w:eastAsia="pt-BR"/>
      </w:rPr>
    </w:pPr>
    <w:r>
      <w:rPr>
        <w:noProof/>
      </w:rPr>
      <w:drawing>
        <wp:inline distT="0" distB="0" distL="0" distR="0" wp14:anchorId="510FFD16" wp14:editId="6D6D1306">
          <wp:extent cx="4087495" cy="487680"/>
          <wp:effectExtent l="0" t="0" r="0" b="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1EBB8" w14:textId="77777777" w:rsidR="00E96A14" w:rsidRDefault="009A04F7">
    <w:pPr>
      <w:pStyle w:val="Rodap"/>
      <w:jc w:val="right"/>
      <w:rPr>
        <w:sz w:val="12"/>
        <w:szCs w:val="12"/>
        <w:lang w:eastAsia="pt-BR"/>
      </w:rPr>
    </w:pPr>
    <w:r>
      <w:rPr>
        <w:noProof/>
      </w:rPr>
      <w:drawing>
        <wp:inline distT="0" distB="0" distL="0" distR="0" wp14:anchorId="1B2B38DC" wp14:editId="64310E09">
          <wp:extent cx="4087495" cy="48768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9A848" w14:textId="77777777" w:rsidR="00E96A14" w:rsidRDefault="009A04F7">
      <w:r>
        <w:separator/>
      </w:r>
    </w:p>
  </w:footnote>
  <w:footnote w:type="continuationSeparator" w:id="0">
    <w:p w14:paraId="6A876A9D" w14:textId="77777777" w:rsidR="00E96A14" w:rsidRDefault="009A0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6AA8C" w14:textId="6649F51B" w:rsidR="00E96A14" w:rsidRDefault="009A04F7">
    <w:pPr>
      <w:pStyle w:val="Cabealho"/>
      <w:tabs>
        <w:tab w:val="left" w:pos="3405"/>
      </w:tabs>
      <w:rPr>
        <w:sz w:val="12"/>
        <w:szCs w:val="12"/>
        <w:lang w:eastAsia="pt-BR"/>
      </w:rPr>
    </w:pPr>
    <w:r>
      <w:rPr>
        <w:noProof/>
      </w:rPr>
      <w:drawing>
        <wp:inline distT="0" distB="0" distL="0" distR="0" wp14:anchorId="041369FB" wp14:editId="3E4D02AC">
          <wp:extent cx="4596130" cy="954405"/>
          <wp:effectExtent l="0" t="0" r="0" b="0"/>
          <wp:docPr id="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1" t="-1558" r="-351" b="-1558"/>
                  <a:stretch>
                    <a:fillRect/>
                  </a:stretch>
                </pic:blipFill>
                <pic:spPr bwMode="auto">
                  <a:xfrm>
                    <a:off x="0" y="0"/>
                    <a:ext cx="4596130" cy="954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7A43" w14:textId="77777777" w:rsidR="00E96A14" w:rsidRDefault="009A04F7">
    <w:pPr>
      <w:pStyle w:val="Cabealho"/>
      <w:tabs>
        <w:tab w:val="left" w:pos="3405"/>
      </w:tabs>
      <w:rPr>
        <w:sz w:val="12"/>
        <w:szCs w:val="12"/>
        <w:lang w:eastAsia="pt-BR"/>
      </w:rPr>
    </w:pPr>
    <w:r>
      <w:rPr>
        <w:noProof/>
      </w:rPr>
      <w:drawing>
        <wp:inline distT="0" distB="0" distL="0" distR="0" wp14:anchorId="0C7FCBD0" wp14:editId="1DBA9D24">
          <wp:extent cx="4596130" cy="954405"/>
          <wp:effectExtent l="0" t="0" r="0" b="0"/>
          <wp:docPr id="2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1" t="-1558" r="-351" b="-1558"/>
                  <a:stretch>
                    <a:fillRect/>
                  </a:stretch>
                </pic:blipFill>
                <pic:spPr bwMode="auto">
                  <a:xfrm>
                    <a:off x="0" y="0"/>
                    <a:ext cx="4596130" cy="954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C649A"/>
    <w:multiLevelType w:val="multilevel"/>
    <w:tmpl w:val="7F7E88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106645"/>
    <w:multiLevelType w:val="multilevel"/>
    <w:tmpl w:val="7B04CF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A14"/>
    <w:rsid w:val="002110FC"/>
    <w:rsid w:val="002120B5"/>
    <w:rsid w:val="00282648"/>
    <w:rsid w:val="004612D1"/>
    <w:rsid w:val="005011CB"/>
    <w:rsid w:val="006949F7"/>
    <w:rsid w:val="006A3781"/>
    <w:rsid w:val="00850606"/>
    <w:rsid w:val="008F186B"/>
    <w:rsid w:val="009A04F7"/>
    <w:rsid w:val="00B37F61"/>
    <w:rsid w:val="00BE0C2F"/>
    <w:rsid w:val="00CF1A1E"/>
    <w:rsid w:val="00E521E5"/>
    <w:rsid w:val="00E96A14"/>
    <w:rsid w:val="00EB7158"/>
    <w:rsid w:val="00EE2D75"/>
    <w:rsid w:val="00F5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481F38"/>
  <w15:docId w15:val="{5DABE569-B759-46A2-ABF6-A81316CD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Ttulo5">
    <w:name w:val="heading 5"/>
    <w:basedOn w:val="Normal"/>
    <w:next w:val="Normal"/>
    <w:qFormat/>
    <w:pPr>
      <w:keepNext/>
      <w:widowControl w:val="0"/>
      <w:numPr>
        <w:ilvl w:val="4"/>
        <w:numId w:val="1"/>
      </w:numPr>
      <w:spacing w:after="0" w:line="360" w:lineRule="auto"/>
      <w:outlineLvl w:val="4"/>
    </w:pPr>
    <w:rPr>
      <w:rFonts w:ascii="Arial" w:eastAsia="Times New Roman" w:hAnsi="Arial" w:cs="Arial"/>
      <w:sz w:val="24"/>
      <w:szCs w:val="20"/>
      <w:lang w:val="en-US" w:bidi="pt-BR"/>
    </w:rPr>
  </w:style>
  <w:style w:type="paragraph" w:styleId="Ttulo7">
    <w:name w:val="heading 7"/>
    <w:basedOn w:val="Normal"/>
    <w:next w:val="Normal"/>
    <w:qFormat/>
    <w:pPr>
      <w:keepNext/>
      <w:widowControl w:val="0"/>
      <w:numPr>
        <w:ilvl w:val="6"/>
        <w:numId w:val="1"/>
      </w:numPr>
      <w:spacing w:after="0" w:line="360" w:lineRule="auto"/>
      <w:jc w:val="right"/>
      <w:outlineLvl w:val="6"/>
    </w:pPr>
    <w:rPr>
      <w:rFonts w:ascii="Arial" w:eastAsia="Times New Roman" w:hAnsi="Arial" w:cs="Arial"/>
      <w:sz w:val="24"/>
      <w:szCs w:val="20"/>
      <w:lang w:val="en-US" w:bidi="pt-BR"/>
    </w:rPr>
  </w:style>
  <w:style w:type="paragraph" w:styleId="Ttulo8">
    <w:name w:val="heading 8"/>
    <w:basedOn w:val="Normal"/>
    <w:next w:val="Normal"/>
    <w:qFormat/>
    <w:pPr>
      <w:keepNext/>
      <w:widowControl w:val="0"/>
      <w:numPr>
        <w:ilvl w:val="7"/>
        <w:numId w:val="1"/>
      </w:numPr>
      <w:spacing w:after="0" w:line="240" w:lineRule="auto"/>
      <w:outlineLvl w:val="7"/>
    </w:pPr>
    <w:rPr>
      <w:rFonts w:ascii="Century" w:eastAsia="Times New Roman" w:hAnsi="Century" w:cs="Arial"/>
      <w:sz w:val="26"/>
      <w:szCs w:val="20"/>
      <w:lang w:val="en-US" w:bidi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3">
    <w:name w:val="Fonte parág. padrão3"/>
    <w:qFormat/>
  </w:style>
  <w:style w:type="character" w:customStyle="1" w:styleId="Fontepargpadro2">
    <w:name w:val="Fonte parág. padrão2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Fontepargpadro1">
    <w:name w:val="Fonte parág. padrão1"/>
    <w:qFormat/>
  </w:style>
  <w:style w:type="character" w:customStyle="1" w:styleId="Ttulo5Char">
    <w:name w:val="Título 5 Char"/>
    <w:qFormat/>
    <w:rPr>
      <w:rFonts w:ascii="Arial" w:eastAsia="Times New Roman" w:hAnsi="Arial" w:cs="Arial"/>
      <w:sz w:val="24"/>
      <w:szCs w:val="20"/>
      <w:lang w:val="en-US" w:bidi="pt-BR"/>
    </w:rPr>
  </w:style>
  <w:style w:type="character" w:customStyle="1" w:styleId="Ttulo7Char">
    <w:name w:val="Título 7 Char"/>
    <w:qFormat/>
    <w:rPr>
      <w:rFonts w:ascii="Arial" w:eastAsia="Times New Roman" w:hAnsi="Arial" w:cs="Arial"/>
      <w:sz w:val="24"/>
      <w:szCs w:val="20"/>
      <w:lang w:val="en-US" w:bidi="pt-BR"/>
    </w:rPr>
  </w:style>
  <w:style w:type="character" w:customStyle="1" w:styleId="Ttulo8Char">
    <w:name w:val="Título 8 Char"/>
    <w:qFormat/>
    <w:rPr>
      <w:rFonts w:ascii="Century" w:eastAsia="Times New Roman" w:hAnsi="Century" w:cs="Arial"/>
      <w:sz w:val="26"/>
      <w:szCs w:val="20"/>
      <w:lang w:val="en-US" w:bidi="pt-BR"/>
    </w:rPr>
  </w:style>
  <w:style w:type="character" w:customStyle="1" w:styleId="CabealhoChar">
    <w:name w:val="Cabeçalho Char"/>
    <w:qFormat/>
    <w:rPr>
      <w:rFonts w:ascii="Calibri" w:eastAsia="Calibri" w:hAnsi="Calibri" w:cs="Times New Roman"/>
    </w:rPr>
  </w:style>
  <w:style w:type="character" w:customStyle="1" w:styleId="RodapChar">
    <w:name w:val="Rodapé Char"/>
    <w:qFormat/>
    <w:rPr>
      <w:rFonts w:ascii="Calibri" w:eastAsia="Calibri" w:hAnsi="Calibri" w:cs="Times New Roman"/>
    </w:rPr>
  </w:style>
  <w:style w:type="character" w:customStyle="1" w:styleId="TextodebaloChar">
    <w:name w:val="Texto de balão Char"/>
    <w:qFormat/>
    <w:rPr>
      <w:rFonts w:ascii="Segoe UI" w:hAnsi="Segoe UI" w:cs="Segoe UI"/>
      <w:sz w:val="18"/>
      <w:szCs w:val="18"/>
    </w:rPr>
  </w:style>
  <w:style w:type="character" w:customStyle="1" w:styleId="Smbolosdenumeraouser">
    <w:name w:val="Símbolos de numeração (user)"/>
    <w:qFormat/>
  </w:style>
  <w:style w:type="character" w:styleId="Forte">
    <w:name w:val="Strong"/>
    <w:basedOn w:val="Fontepargpadro"/>
    <w:uiPriority w:val="22"/>
    <w:qFormat/>
    <w:rsid w:val="00B11332"/>
    <w:rPr>
      <w:b/>
      <w:bCs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9715F2"/>
    <w:rPr>
      <w:rFonts w:ascii="Calibri" w:eastAsia="Calibri" w:hAnsi="Calibri" w:cs="Calibri"/>
      <w:lang w:eastAsia="zh-CN"/>
    </w:rPr>
  </w:style>
  <w:style w:type="character" w:customStyle="1" w:styleId="ncoradanotaderodapuser">
    <w:name w:val="Âncora da nota de rodapé (user)"/>
    <w:qFormat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541224"/>
    <w:rPr>
      <w:vertAlign w:val="superscript"/>
    </w:rPr>
  </w:style>
  <w:style w:type="character" w:customStyle="1" w:styleId="Caracteresdenotaderodapuser">
    <w:name w:val="Caracteres de nota de rodapé (user)"/>
    <w:qFormat/>
  </w:style>
  <w:style w:type="character" w:customStyle="1" w:styleId="ncoradanotadefimuser">
    <w:name w:val="Âncora da nota de fim (user)"/>
    <w:qFormat/>
    <w:rPr>
      <w:vertAlign w:val="superscript"/>
    </w:rPr>
  </w:style>
  <w:style w:type="character" w:customStyle="1" w:styleId="Caracteresdenotadefimuser">
    <w:name w:val="Caracteres de nota de fim (user)"/>
    <w:qFormat/>
  </w:style>
  <w:style w:type="character" w:customStyle="1" w:styleId="nfaseuser">
    <w:name w:val="Ênfase (user)"/>
    <w:qFormat/>
    <w:rPr>
      <w:i/>
      <w:iCs/>
    </w:rPr>
  </w:style>
  <w:style w:type="character" w:customStyle="1" w:styleId="Caracteresdenotaderodap">
    <w:name w:val="Caracteres de nota de rodapé"/>
    <w:qFormat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character" w:customStyle="1" w:styleId="Caracteresdenotadefim">
    <w:name w:val="Caracteres de nota de fim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Times New Roman"/>
    </w:rPr>
  </w:style>
  <w:style w:type="paragraph" w:customStyle="1" w:styleId="Ttulo3">
    <w:name w:val="Título3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tulo2">
    <w:name w:val="Título2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tulo1">
    <w:name w:val="Título1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Cabealhoerodap1">
    <w:name w:val="Cabeçalho e rodapé1"/>
    <w:basedOn w:val="Normal"/>
    <w:qFormat/>
  </w:style>
  <w:style w:type="paragraph" w:styleId="Cabealho">
    <w:name w:val="header"/>
    <w:basedOn w:val="Normal"/>
    <w:pPr>
      <w:spacing w:after="0" w:line="240" w:lineRule="auto"/>
    </w:pPr>
  </w:style>
  <w:style w:type="paragraph" w:styleId="Rodap">
    <w:name w:val="footer"/>
    <w:basedOn w:val="Normal"/>
    <w:pPr>
      <w:spacing w:after="0" w:line="240" w:lineRule="auto"/>
    </w:pPr>
  </w:style>
  <w:style w:type="paragraph" w:styleId="Textodebalo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E80D26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715F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qFormat/>
    <w:locked/>
    <w:rsid w:val="00EB7158"/>
  </w:style>
  <w:style w:type="paragraph" w:styleId="Textodenotadefim">
    <w:name w:val="endnote text"/>
    <w:basedOn w:val="Normal"/>
    <w:link w:val="TextodenotadefimChar"/>
    <w:uiPriority w:val="99"/>
    <w:unhideWhenUsed/>
    <w:rsid w:val="00EB7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fimChar1">
    <w:name w:val="Texto de nota de fim Char1"/>
    <w:basedOn w:val="Fontepargpadro"/>
    <w:uiPriority w:val="99"/>
    <w:semiHidden/>
    <w:rsid w:val="00EB7158"/>
    <w:rPr>
      <w:rFonts w:ascii="Calibri" w:eastAsia="Calibri" w:hAnsi="Calibri" w:cs="Calibri"/>
      <w:lang w:eastAsia="zh-CN"/>
    </w:rPr>
  </w:style>
  <w:style w:type="table" w:styleId="Tabelacomgrade">
    <w:name w:val="Table Grid"/>
    <w:basedOn w:val="Tabelanormal"/>
    <w:uiPriority w:val="39"/>
    <w:rsid w:val="00EB7158"/>
    <w:rPr>
      <w:rFonts w:asciiTheme="minorHAnsi" w:hAnsiTheme="minorHAnsi" w:cs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A1ED-D872-4AA5-B70B-98A167F6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476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PMRO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Gerk da Silveira e Almeida</dc:creator>
  <dc:description/>
  <cp:lastModifiedBy>Leonardo Soares Terra</cp:lastModifiedBy>
  <cp:revision>3</cp:revision>
  <cp:lastPrinted>2025-05-16T18:01:00Z</cp:lastPrinted>
  <dcterms:created xsi:type="dcterms:W3CDTF">2025-05-22T12:23:00Z</dcterms:created>
  <dcterms:modified xsi:type="dcterms:W3CDTF">2025-05-22T12:25:00Z</dcterms:modified>
  <dc:language>pt-BR</dc:language>
</cp:coreProperties>
</file>